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6" w:rsidRDefault="008A6156">
      <w:pPr>
        <w:pStyle w:val="a5"/>
        <w:tabs>
          <w:tab w:val="left" w:pos="5880"/>
        </w:tabs>
        <w:jc w:val="center"/>
        <w:rPr>
          <w:sz w:val="28"/>
          <w:szCs w:val="28"/>
        </w:rPr>
      </w:pPr>
    </w:p>
    <w:p w:rsidR="008A6156" w:rsidRDefault="00C23F47">
      <w:pPr>
        <w:pStyle w:val="a5"/>
        <w:tabs>
          <w:tab w:val="left" w:pos="5880"/>
        </w:tabs>
        <w:spacing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A6156" w:rsidRDefault="008A615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56" w:rsidRDefault="00C23F47" w:rsidP="00624E2E">
      <w:pPr>
        <w:pStyle w:val="Standard"/>
        <w:spacing w:after="0"/>
        <w:jc w:val="both"/>
      </w:pPr>
      <w:r>
        <w:rPr>
          <w:rFonts w:ascii="Times New Roman" w:hAnsi="Times New Roman"/>
          <w:color w:val="231F20"/>
          <w:sz w:val="24"/>
          <w:szCs w:val="24"/>
        </w:rPr>
        <w:t xml:space="preserve">                         Настоящая рабочая программа учебного предмета «Основы религиозной культуры и светской этики» разработана в соответствии с требованиями федерального государственного образовательного стандарта начального общего образования (ФГОС НОО), на основе программы общеобразовательных учреждений «Основы духовно-нравственной культуры народов России. Основы религиозных культур и светской этики» 2012 года, </w:t>
      </w:r>
      <w:r>
        <w:rPr>
          <w:rFonts w:ascii="Times New Roman" w:hAnsi="Times New Roman"/>
          <w:sz w:val="24"/>
          <w:szCs w:val="24"/>
        </w:rPr>
        <w:t>адаптированной основной общеобразовательной  программы начального общего образования для слабовидящих обучающихся  государственного общеобразовательного учреждения Тульской области     « Суворовская начальная  школа»</w:t>
      </w:r>
    </w:p>
    <w:p w:rsidR="008A6156" w:rsidRDefault="008A6156" w:rsidP="00624E2E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Настоящая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231F20"/>
          <w:sz w:val="24"/>
          <w:szCs w:val="24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Рабочая программа является частью комплекта учебно-методических материалов по предмету «Основы православной культуры».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Место учебного модуля «Основы православной культуры» в учебном плане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- 34 часа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неделю - 1 чаc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рассчитана на детей 4 класса.</w:t>
      </w:r>
    </w:p>
    <w:p w:rsidR="008A6156" w:rsidRDefault="00C23F47" w:rsidP="00624E2E">
      <w:pPr>
        <w:pStyle w:val="Standard"/>
        <w:ind w:firstLine="709"/>
        <w:jc w:val="both"/>
      </w:pPr>
      <w:r>
        <w:rPr>
          <w:rFonts w:ascii="Times New Roman" w:hAnsi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>
        <w:rPr>
          <w:rFonts w:ascii="Times New Roman" w:hAnsi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>
        <w:rPr>
          <w:rFonts w:ascii="Times New Roman" w:hAnsi="Times New Roman"/>
          <w:sz w:val="24"/>
          <w:szCs w:val="24"/>
        </w:rPr>
        <w:t>решение следующих задач:</w:t>
      </w:r>
    </w:p>
    <w:p w:rsidR="008A6156" w:rsidRDefault="00C23F47" w:rsidP="00624E2E">
      <w:pPr>
        <w:pStyle w:val="Standard"/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spacing w:before="43" w:after="0"/>
        <w:ind w:right="480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выработка сенсомоторной культуры у детей, специальных приёмов и способов </w:t>
      </w:r>
      <w:r>
        <w:rPr>
          <w:rFonts w:ascii="Times New Roman" w:hAnsi="Times New Roman"/>
          <w:sz w:val="24"/>
          <w:szCs w:val="24"/>
        </w:rPr>
        <w:t>обследования учебного материала;</w:t>
      </w:r>
    </w:p>
    <w:p w:rsidR="008A6156" w:rsidRDefault="00C23F47" w:rsidP="00624E2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pacing w:after="0"/>
        <w:ind w:right="480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формирование и обогащение личного опыта учащихся путём проведения с ними </w:t>
      </w:r>
      <w:r>
        <w:rPr>
          <w:rFonts w:ascii="Times New Roman" w:hAnsi="Times New Roman"/>
          <w:sz w:val="24"/>
          <w:szCs w:val="24"/>
        </w:rPr>
        <w:t>систематических наблюдений явлений природы, показ на доступных примерах взаимосвязи в природе, а так же между человеком и природой;</w:t>
      </w:r>
    </w:p>
    <w:p w:rsidR="008A6156" w:rsidRDefault="00C23F47" w:rsidP="00624E2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pacing w:before="72" w:after="0"/>
        <w:ind w:right="480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коррекция и развитие тактильного и зрительного восприятия учебного материала с </w:t>
      </w:r>
      <w:r>
        <w:rPr>
          <w:rFonts w:ascii="Times New Roman" w:hAnsi="Times New Roman"/>
          <w:sz w:val="24"/>
          <w:szCs w:val="24"/>
        </w:rPr>
        <w:t>помощью осязания и неполного зрения;</w:t>
      </w:r>
    </w:p>
    <w:p w:rsidR="008A6156" w:rsidRDefault="00C23F47" w:rsidP="00624E2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pacing w:before="77" w:after="0"/>
        <w:ind w:right="960"/>
        <w:jc w:val="both"/>
      </w:pPr>
      <w:r>
        <w:rPr>
          <w:rFonts w:ascii="Times New Roman" w:hAnsi="Times New Roman"/>
          <w:spacing w:val="-2"/>
          <w:sz w:val="24"/>
          <w:szCs w:val="24"/>
        </w:rPr>
        <w:t xml:space="preserve">исправление недостатков психического развития как в сфере чувственного, так и в </w:t>
      </w:r>
      <w:r>
        <w:rPr>
          <w:rFonts w:ascii="Times New Roman" w:hAnsi="Times New Roman"/>
          <w:sz w:val="24"/>
          <w:szCs w:val="24"/>
        </w:rPr>
        <w:t>области логического познания, доразвитие нарушенных функций зрения( острота поле зрения и т. д.);</w:t>
      </w:r>
    </w:p>
    <w:p w:rsidR="008A6156" w:rsidRDefault="00C23F47" w:rsidP="00624E2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pacing w:after="0"/>
        <w:ind w:right="1920"/>
        <w:jc w:val="both"/>
      </w:pPr>
      <w:r>
        <w:rPr>
          <w:rFonts w:ascii="Times New Roman" w:hAnsi="Times New Roman"/>
          <w:spacing w:val="-1"/>
          <w:sz w:val="24"/>
          <w:szCs w:val="24"/>
        </w:rPr>
        <w:t>соблюдение режима зрительной работы, чередование его с отдыхом. Переключение на восприятие информации с помощью слуха.</w:t>
      </w:r>
    </w:p>
    <w:p w:rsidR="008A6156" w:rsidRDefault="00C23F47" w:rsidP="00624E2E">
      <w:pPr>
        <w:pStyle w:val="a6"/>
        <w:shd w:val="clear" w:color="auto" w:fill="FFFFFF"/>
        <w:spacing w:line="276" w:lineRule="auto"/>
        <w:jc w:val="both"/>
      </w:pPr>
      <w:r>
        <w:rPr>
          <w:color w:val="000000"/>
        </w:rPr>
        <w:t>Программа предусматривает проведение традиционных и нетрадиционных уроков, обобщающих уроков.</w:t>
      </w:r>
    </w:p>
    <w:p w:rsidR="008A6156" w:rsidRDefault="00C23F47" w:rsidP="00624E2E">
      <w:pPr>
        <w:pStyle w:val="Standard"/>
        <w:shd w:val="clear" w:color="auto" w:fill="FFFFFF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Используется фронтальная, групповая, индивидуальная работа, работа в парах</w:t>
      </w:r>
    </w:p>
    <w:p w:rsidR="008A6156" w:rsidRDefault="008A6156" w:rsidP="00624E2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6156" w:rsidRDefault="008A6156" w:rsidP="00624E2E">
      <w:pPr>
        <w:pStyle w:val="Standar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Планируемые результаты освоения учащимися программы по основам православной культуры.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 учебного предмета «Основы православной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культуры» учащимися 4 класса: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настроенность на доброе поведение и добрые взаимоотношения с окружающими;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 основ православной культуры учащимися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развитие познавательной деятельности младшего школьника в гуманитарной сфере;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любовь к родному языку, родной истории, литературе и культуре;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описывать достопамятные события родного края, школы, семьи.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color w:val="231F20"/>
          <w:sz w:val="24"/>
          <w:szCs w:val="24"/>
        </w:rPr>
        <w:t>изучения основ православной культуры в начальной школе: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развитие чувства прекрасного в процессе знакомства с памятниками православной культуры;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соотносить имена выдающихся исторических личностей с основными вехами и важнейшими событиями родной истории (к примеру, Александр Невский — Ледовое побоище);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видеть в памятниках письменности и произведениях русской классической литературы славянизмы, их необычные формы и понимать их смысл;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умение соотносить старый и новый стили (даты юлианского и григорианского календарей), знание причины расхождения этих календарей;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приобщение к духовно-нравственным ценностям своего народа;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приобретение устойчивых представлений о нравственности и духовности в рамках понятий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добро – зло, правда – ложь, свобода и ответственность, совесть и долг;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– формирование потребности в нравственном совершенствовании.</w:t>
      </w:r>
    </w:p>
    <w:p w:rsidR="008A6156" w:rsidRDefault="008A6156" w:rsidP="00624E2E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A6156" w:rsidRDefault="008A6156" w:rsidP="00624E2E">
      <w:pPr>
        <w:pStyle w:val="a5"/>
        <w:spacing w:line="276" w:lineRule="auto"/>
        <w:jc w:val="both"/>
      </w:pP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Содержание учебного предмета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Россия – наша Родина.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календарь, Праздники. Христианская семья и её ценности.</w:t>
      </w:r>
    </w:p>
    <w:p w:rsidR="008A6156" w:rsidRDefault="00C23F47" w:rsidP="00624E2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Любовь и уважение к Отечеству. Патриотизм многонациональногои многоконфессионального народа России.</w:t>
      </w:r>
    </w:p>
    <w:p w:rsidR="008A6156" w:rsidRDefault="008A6156" w:rsidP="00624E2E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 w:rsidP="00624E2E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E10390" w:rsidRDefault="00C23F47" w:rsidP="00E1039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8A6156" w:rsidRPr="00E10390" w:rsidRDefault="00E10390" w:rsidP="00E1039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C23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ОРКСЭ – 34 ч</w:t>
      </w:r>
    </w:p>
    <w:p w:rsidR="008A6156" w:rsidRDefault="008A61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6828"/>
        <w:gridCol w:w="1116"/>
      </w:tblGrid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bookmarkStart w:id="0" w:name="0"/>
            <w:bookmarkStart w:id="1" w:name="d4a79b47a89723c3226561a1d78b4b39e1f89605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нашаРодина.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Бог в православии.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 и  Евангелие.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Проповедь Христа.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Христос и Его крест.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Православное учение о человеке.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 и раскаяние.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правило этики.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христианство пришло на Русь.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блаженств.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творить добро.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в жизни христианина.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 и раскаяние.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о Божием суде.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Таинство причастия.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Монастырь. 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христианина к природе.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Христианская семья.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Отечества.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уважение к</w:t>
            </w:r>
            <w:r w:rsidR="004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Отечеству.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</w:t>
            </w:r>
            <w:r w:rsidR="004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проектов. Определение тем, целей, задач.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информации.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работ.</w:t>
            </w: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  <w:tr w:rsidR="008A6156" w:rsidTr="004B2E55">
        <w:tc>
          <w:tcPr>
            <w:tcW w:w="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 w:rsidP="004B2E55"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C23F4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презентация</w:t>
            </w:r>
            <w:r w:rsidR="004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проектов.</w:t>
            </w:r>
          </w:p>
          <w:p w:rsidR="008A6156" w:rsidRDefault="008A615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156" w:rsidRDefault="004B2E55" w:rsidP="004B2E5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26.05</w:t>
            </w:r>
          </w:p>
        </w:tc>
      </w:tr>
    </w:tbl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8A6156">
      <w:pPr>
        <w:pStyle w:val="a5"/>
        <w:jc w:val="both"/>
      </w:pPr>
    </w:p>
    <w:p w:rsidR="008A6156" w:rsidRDefault="00C23F47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C23F47">
      <w:pPr>
        <w:pStyle w:val="a5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Программа общеобразовательных учреждений «Основы духовно-нравственной культуры народов России. Основы религиозных культур и светской этики» 2012 года</w:t>
      </w:r>
    </w:p>
    <w:p w:rsidR="008A6156" w:rsidRDefault="00C23F47">
      <w:pPr>
        <w:pStyle w:val="a5"/>
        <w:jc w:val="both"/>
      </w:pPr>
      <w:r>
        <w:rPr>
          <w:rFonts w:ascii="Times New Roman" w:hAnsi="Times New Roman" w:cs="Times New Roman"/>
          <w:color w:val="231F20"/>
          <w:sz w:val="24"/>
          <w:szCs w:val="24"/>
        </w:rPr>
        <w:t>Интернет-ресурсы</w:t>
      </w:r>
    </w:p>
    <w:p w:rsidR="008A6156" w:rsidRDefault="008A6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156" w:rsidRDefault="00C23F47">
      <w:pPr>
        <w:pStyle w:val="Standard"/>
      </w:pPr>
      <w:r>
        <w:rPr>
          <w:rFonts w:ascii="Times New Roman" w:hAnsi="Times New Roman"/>
          <w:sz w:val="24"/>
          <w:szCs w:val="24"/>
        </w:rPr>
        <w:t>А.В.Кураев « Основы православной культ</w:t>
      </w:r>
      <w:r w:rsidR="00624E2E">
        <w:rPr>
          <w:rFonts w:ascii="Times New Roman" w:hAnsi="Times New Roman"/>
          <w:sz w:val="24"/>
          <w:szCs w:val="24"/>
        </w:rPr>
        <w:t>уры», Москва « Просвещение» 2019</w:t>
      </w:r>
      <w:r>
        <w:rPr>
          <w:rFonts w:ascii="Times New Roman" w:hAnsi="Times New Roman"/>
          <w:sz w:val="24"/>
          <w:szCs w:val="24"/>
        </w:rPr>
        <w:t>г</w:t>
      </w:r>
    </w:p>
    <w:p w:rsidR="008A6156" w:rsidRDefault="00C23F47">
      <w:pPr>
        <w:pStyle w:val="Standard"/>
      </w:pPr>
      <w:r>
        <w:rPr>
          <w:rFonts w:ascii="Times New Roman" w:hAnsi="Times New Roman"/>
          <w:sz w:val="24"/>
          <w:szCs w:val="24"/>
        </w:rPr>
        <w:t>Методическое обеспечение: пособие для учащихся, книга для учителя, книга для чтения детьми и родителями дома.</w:t>
      </w:r>
    </w:p>
    <w:sectPr w:rsidR="008A6156" w:rsidSect="0072049B">
      <w:pgSz w:w="11906" w:h="16838"/>
      <w:pgMar w:top="1134" w:right="851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34" w:rsidRDefault="005D7734">
      <w:pPr>
        <w:spacing w:after="0" w:line="240" w:lineRule="auto"/>
      </w:pPr>
      <w:r>
        <w:separator/>
      </w:r>
    </w:p>
  </w:endnote>
  <w:endnote w:type="continuationSeparator" w:id="1">
    <w:p w:rsidR="005D7734" w:rsidRDefault="005D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34" w:rsidRDefault="005D77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D7734" w:rsidRDefault="005D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D25"/>
    <w:multiLevelType w:val="multilevel"/>
    <w:tmpl w:val="FF146EAC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156"/>
    <w:rsid w:val="00012BF7"/>
    <w:rsid w:val="002B5D5B"/>
    <w:rsid w:val="002D006E"/>
    <w:rsid w:val="003178DB"/>
    <w:rsid w:val="004A6363"/>
    <w:rsid w:val="004B2E55"/>
    <w:rsid w:val="004F7F78"/>
    <w:rsid w:val="00552472"/>
    <w:rsid w:val="005D7734"/>
    <w:rsid w:val="00624E2E"/>
    <w:rsid w:val="0072049B"/>
    <w:rsid w:val="008A6156"/>
    <w:rsid w:val="00A14258"/>
    <w:rsid w:val="00C23F47"/>
    <w:rsid w:val="00E10390"/>
    <w:rsid w:val="00E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9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49B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2049B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72049B"/>
    <w:pPr>
      <w:spacing w:after="120"/>
    </w:pPr>
  </w:style>
  <w:style w:type="paragraph" w:styleId="a3">
    <w:name w:val="List"/>
    <w:basedOn w:val="Textbody"/>
    <w:rsid w:val="0072049B"/>
    <w:rPr>
      <w:rFonts w:cs="Arial Unicode MS"/>
    </w:rPr>
  </w:style>
  <w:style w:type="paragraph" w:styleId="a4">
    <w:name w:val="caption"/>
    <w:basedOn w:val="Standard"/>
    <w:rsid w:val="0072049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72049B"/>
    <w:pPr>
      <w:suppressLineNumbers/>
    </w:pPr>
    <w:rPr>
      <w:rFonts w:cs="Arial Unicode MS"/>
    </w:rPr>
  </w:style>
  <w:style w:type="paragraph" w:styleId="a5">
    <w:name w:val="No Spacing"/>
    <w:rsid w:val="0072049B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a6">
    <w:name w:val="List Paragraph"/>
    <w:basedOn w:val="Standard"/>
    <w:rsid w:val="007204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Standard"/>
    <w:rsid w:val="0072049B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rsid w:val="0072049B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Без интервала Знак"/>
    <w:basedOn w:val="a0"/>
    <w:rsid w:val="0072049B"/>
  </w:style>
  <w:style w:type="character" w:customStyle="1" w:styleId="aa">
    <w:name w:val="Верхний колонтитул Знак"/>
    <w:rsid w:val="0072049B"/>
    <w:rPr>
      <w:rFonts w:ascii="Calibri" w:eastAsia="Calibri" w:hAnsi="Calibri" w:cs="Times New Roman"/>
    </w:rPr>
  </w:style>
  <w:style w:type="character" w:customStyle="1" w:styleId="ab">
    <w:name w:val="Нижний колонтитул Знак"/>
    <w:rsid w:val="0072049B"/>
    <w:rPr>
      <w:rFonts w:ascii="Calibri" w:eastAsia="Calibri" w:hAnsi="Calibri" w:cs="Times New Roman"/>
    </w:rPr>
  </w:style>
  <w:style w:type="numbering" w:customStyle="1" w:styleId="WWNum1">
    <w:name w:val="WWNum1"/>
    <w:basedOn w:val="a2"/>
    <w:rsid w:val="0072049B"/>
    <w:pPr>
      <w:numPr>
        <w:numId w:val="1"/>
      </w:numPr>
    </w:pPr>
  </w:style>
  <w:style w:type="character" w:styleId="ac">
    <w:name w:val="Book Title"/>
    <w:basedOn w:val="a0"/>
    <w:uiPriority w:val="33"/>
    <w:qFormat/>
    <w:rsid w:val="00624E2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2021-08-25T06:49:00Z</cp:lastPrinted>
  <dcterms:created xsi:type="dcterms:W3CDTF">2021-09-04T12:11:00Z</dcterms:created>
  <dcterms:modified xsi:type="dcterms:W3CDTF">2021-09-23T08:11:00Z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